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05.08.2020 завершена процедура реализации имущества гражданина, должник освобождён от дальнейшего исполнения требований кредиторов, в том числе кредиторов, не заявленных при введении завершённой процедуры банкротства. Постановлением Одиннадцатого арбитражного апелляционного суда от 12.10.2020, оставленным без изменения постановлением Арбитражного суда Поволжского округа от 22.12.2020, вышеуказанное определение отменено в части освобождения должника от дальнейшего исполнения требований кредиторов, в том числе требований кредиторов, не заявленных при введении реализации имущества гражданина; не применены правила об освобождении должника от дальнейшего исполнения непогашенных обязательств перед кредиторами Сабитовым Алмазом Ахатовичем и Федеральной налоговой службой России в общем размере 1 364 538 рублей 15 копеек. В остальной части определение суда первой инстанции от 05.08.2020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неприменения к нему правил об освобождении от исполнения обязательств перед названными кредиторами, определение суда первой инстанции в данной части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определение в обжалуемой части, апелляционный суд, руководствуясь положениями пункта 4 статьи 213.28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 оснований для применения правил об освобождении заявителя от исполнения обязательств перед кредиторами в связи с его недобросовестным поведением.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Ниррулину Исламу Радиковичу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