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(далее – уполномоченный орган) обратилась в суд с жалобой на действия (бездействие) конкурсного управляющего должником Ратушина А.Ю., выразившееся в: несвоевременном опубликовании сведений об открытии процедуры конкурсного производства в отношении должника в газете «Коммерсантъ»; несвоевременном проведении и опубликовании результатов инвентаризации имущества должника, его оценки; нарушении типовых форм отчётов конкурсного управляющего о своей деятельности и о результатах проведения конкурсного производства; непредставлении отчёта об использовании денежных средств, а также копий документов, подтверждающих указанные в нем сведения, заключения о наличии или об отсутствии оснований для оспаривания сделок должника и о наличии признаков преднамеренного и фиктивного банкротства. Кроме того, уполномоченный орган просил уменьшить конкурсному управляющему фиксированную сумму вознаграждения за период с 07.08.2018 по 13.11.2019 и взыскать с него 227 613 рублей выплаченной суммы вознаграждения. Определением Арбитражного суда Республики Хакасия от 30.12.2019, оставленным без изменения постановлениями Третьего арбитражного апелляционного суда от 10.06.2020 и Арбитражного суда Восточно-Сибирского 2 округа от 27.08.2020, жалоба удовлетворена в части. Признаны незаконными действия (бездействие) заявителя, выразившиеся в несвоевременном опубликовании сведений об открытии процедуры конкурсного производства в отношении должника в газете «Коммерсантъ»; в несвоевременном проведении и опубликовании инвентаризации имущества должника и его оценки, а также в не проведении инвентаризации дебиторской задолженности должника и его оценки; в нарушении конкурсным управляющим типовых форм отчётов конкурсного управляющего о своей деятельности и о результатах проведения конкурсного производства. Вознаграждение конкурсного управляющего за период с 07.08.2018 по 13.11.2019 уменьшено до 15 000 рублей в месяц, в пользу должника с заявителя взыскано необоснованно полученное им вознаграждение в сумме 227 613 рублей.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Частично удовлетворяя жалобу уполномоченного органа и снижая размер фиксированного вознаграждения, суды, руководствуясь положениями статей 20.3, 60, 128, 129 Федерального закона от 26.10.2002 № 127-ФЗ «О несостоятельности (банкротстве)» установили, что несвоевременное исполнение заявителем возложенных на него обязанностей конкурсного управляющего должником привело к затягиванию процедуры банкротства, значительному увеличению текущих расходов и нарушению прав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Ратушину Александру Юзефовичу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