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города Санкт-Петербурга и Ленинградской области от 31.10.2018 признано обоснованным и подлежащим включению в реестр денежных требований должника требование Седлецкой Л.В. в размере 12 020 241 рубля 38 копеек. Впоследствии Седлецкая Л.В. обратилась в суд с заявлением об исключении денежного требования к должнику в вышеуказанном размере и о включении в реестр должника требования о передаче жилого помещения – двухкомнатной квартиры № 59 общей площадью 74,75 кв. м. Определением Арбитражного суда города Санкт-Петербурга и Ленинградской области от 21.07.2020, оставленным без изменения постановлениями Тринадцатого арбитражного апелляционного суда от 18.09.2020 и Арбитражного суда Северо-Западного округа от 17.12.2020,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удовлетворении требований или направить спор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201.1 и 201.7 Федерального закона от 26.10.2002 № 127-ФЗ «О несостоятельности (банкротстве)», исходили из отсутствия надлежащих оснований для преобразования денежного требования к должнику в требование о передаче жилого помещения.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Седлецкой Ларисе Витальевне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