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сделками перечислений с расчётного счёта должника денежных средств в размере 180 100 рублей в пользу ФИО2. Определением Арбитражного суда Нижегородской области от 02.06.2020, оставленным без изменения постановлением Первого арбитражного апелляционного суда от 17.08.2020, заявление удовлетворено. Постановлением Арбитражного суда Волго-Вятского округа от 10.12.2020 отменены определение суда первой инстанции от 02.06.2020 и постановление апелляционного суда от 17.08.2020, отказано в удовлетворении заявления. В кассационной жалобе, поданной в Верховный Суд Российской Федерации, заявитель просит отменить указанное постановление суда округа, оставить в силе определение суда первой инстанции и постановление апелляционного суда.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с дополнением таких оснований не установлено. Отказывая в удовлетворении заявления, суд округа, руководствуясь положениями статьи 61.9 Федерального закона от 26.10.2002 № 127-ФЗ «О несостоятельности (банкротстве)», пришёл к выводу о пропуске заявителем срока исковой давности, что является самостоятельным основанием для отказа в удовлетворении требований.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«ГК «ВЕЛТЭК»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