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08.06.2020, оставленным без изменения постановлением Семнадцатого арбитражного апелляционного суда от 21.08.2020, заявленные требования удовлетворены. Постановлением Арбитражного суда Уральского округа от 10.12.2020 указанные судебные акты оставлены без изменения. Административный орган обратился в Верховный Суд Российской Федерации с кассационной жалобой на принятые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Признавая постановление о привлечении общества к административной ответственности по части 1 статьи 9.1 Кодекса Российской Федерации об административных правонарушениях незаконным, суды исходили, в том числе, из того, что ранее судом общей юрисдикции было прекращено дело о привлечении общества к ответственности за совершение тех же нарушений в связи с отсутствием состава административного правонарушения, в связи с чем являются неправомерным дальнейшее осуществление административным органом производства по этому делу. Указанные выводы судов в жалобе не опровергнуты. Выводы судов соответствуют разъяснениям, приведенным в пункте 11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При указанных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Приведенные в жалобе доводы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Трак (подробнее) Ответчики: Западно-уральское Управление Федеральной службы по экологическому, технологическому и атомному надзору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