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21.07.2020, оставленным без изменения постановлением Девятого арбитражного апелляционного суда от 15.09.2020, в удовлетворении требования отказано. 2 Постановлением Арбитражного суда Московского округа от 03.12.2020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административной ответственности послужил установленный административным органом факт неприменения обществом контрольно- кассовой техники. Оценив представленные доказательства, руководствуясь положениями статей 4, 4.2, 5 Федерального закона от 22.05.2003 № 54-ФЗ «О применении контрольно-кассовой техники при осуществлении расчетов в Российской Федерации», разъяснениями, содержащимися в пункте 1 постановления Пленума Высшего Арбитражного Суда РФ от 31.07.2003 № 16 «О некоторых вопросах практики применения административной ответственности, предусмотренной статьей 14.5 Кодекса Российской Федерации об административных правонарушениях, за неприменение контрольно-кассовых машин», суды пришли к выводу о доказанности в действиях общества состава правонарушения, ответственность за совершение которого установлена частью 2 статьи 14.5 Кодекса Российской Федерации об административных правонарушениях, признав, что использование контрольно-кассовой техники с выявленными недостатками не может считаться применением такой техники. Вина общества в совершении правонарушения установлена. Процедура и срок давности привлечения к ответственности соблюдены. Доводы жалобы были предметом исследования судов и получили исчерпывающую правовую оценку, не согласиться с которой оснований не имеется. 3 Указанные доводы сводятся к несогласию заявителя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