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Орфаниди Павел Георгиевич обратился в суд с заявлением о признании недействительной сделкой списания денежных средств с расчётного счёта должника № 40702810400000021824, открытого в акционерном обществе «Райффайзенбанк», в пользу общества на сумму 3 616 148 рублей 80 копеек, и применении последствий недействительности сделки в виде взыскания с общества в пользу должника денежных средств в указанном размере. Определением Арбитражного суда города Москвы от 11.06.2020, оставленным без изменения постановлениями Девятого арбитражного апелляционного суда от 02.09.2020 и Арбитражного суда Московского округа от 25.11.2020,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61.3 Федерального закона от 26.10.2002 № 127-ФЗ «О несостоятельности (банкротстве)», установив, что сделка была совершена после возбуждения настоящего дела о банкротстве должника за пределами обычной хозяйственной деятельности, пришли к выводу об обоснованности заявления, указав на следствие сделки – преимущественное удовлетворение требований общества перед требованиями других кредиторов должника,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«Лукор»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