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«КБ «МБР-Банк» (далее – общество) обратилось в суд с заявлением о включении его требований в реестр требований кредиторов должника (далее – реестр). Определением Арбитражного суда города Москвы от 23.06.2020 требование общества в размере 447 398 094 рубля 29 копеек – основной долг, 9 884 495 рублей 12 копеек – пени включены в третью очередь реестра. Постановлением Девятого арбитражного апелляционного суда от 10.09.2020 частично изменено определение суда первой инстанции от 23.06.2020, требование общества в размере 9 801 073 рублей 97 копеек (проценты за пользование чужими денежными средствами) включено в третью очередь реестра с отдельным учётом, в остальной части определение оставлено без изменения. Постановлением Арбитражного суда Московского округа от 03.12.2020 вышеуказанные судебные акты оставлены без изменения. В кассационной жалобе, поданной в Верховный Суд Российской Федерации, заявитель просит отменить указанные судебные акты в части включения в реестр процентов за пользование кредитом в размере 4 297 364 рубля 38 копеек, неустойки за просрочку суммы основного долга в размере 8 714 100 рублей, неустойки за просрочку уплаты процентов за пользование кредитом в размере 550 395 рублей 12 копеек, отказать во включении требований в реестр в указанной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 о включении требований в реестр, суд первой инстанции, руководствуясь положениями статей 319 и 395 Гражданского кодекса Российской Федерации, статьи 16 Федерального закона от 26.10.2002 № 127-ФЗ «О несостоятельности (банкротстве)», пришёл к выводу об обоснованности и подтверждённости заявленных требований, указав на отсутствие доказательств погашения задолженности. Изменяя определение суда первой инстанции, апелляционный суд в целом согласился с выводами относительно обоснованности заявления, но пришёл к выводу о необходимости снижения размера включаемых в реестр требований по процентам за пользование чужими денежными средствами, произвёл перерасчёт подлежащей к взысканию суммы. Суд округа поддержал выводы судов.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Коммерческий банк "Межрегиональный банк реконструкции" (подробнее) ФНС России Инспекция №1 по г. Москве (подробнее) Иные лица: НП ПАУ ЦФО (подробнее) ПАУ ЦФО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