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суд с заявлением о включении его требования в реестр требований кредиторов должника. Определением Арбитражного суда Московской области от 19.06.2020, оставленным без изменения постановлениями Десятого арбитражного апелляционного суда от 25.09.2020 и Арбитражного суда Московского округа от 11.12.2020, требования удовлетворены частично и включены в третью очередь реестра требований кредиторов должника, как обеспеченные залогом имущества должника.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обоснованности и подтверждённости заявленных требований в части.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несоразмерности неустойки были предметом рассмотрения суда округа и получили надлежащую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№22 по МО (подробнее) ООО КОММЕРЧЕСКИЙ БАНК "ИНВЕСТИЦИОННЫЙ СОЮЗ" " (подробнее) ПАО "Мосэнергосбыт" (подробнее) ПАО "МТС-Банк"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