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20.03.2021 с ходатайством о восстановлении срока. Общество указывает, что не могло подать жалобу в установленный срок в связи с болезнью генерального директора.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Общество подало ходатайство за пределами названного срока, поэтому срок восстановлению не подлежит.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«Нива Г» в восстановлении срока подачи кассационной жалобы на решение Арбитражного суда города Москвы от 08.11.2019 по делу № А40-238967/2019, постановление Девятого арбитражного апелляционного суда от 10.02.2020 и постановление Арбитражного суда Московского округа от 25.06.2020 по тому же делу. Возвратить гражданину ФИО1 6 000 (шесть тысяч) рублей государственной пошлины, уплаченной за подачу кассационной жалобы по чеку-ордеру ПАО «Сбербанк» 9038/1710 (операция 4984) Возвратить обществу с ограниченной ответственностью «Нива Г» кассационную жалобу. Судья Верховного Суда Российской Федерации Н.А. Ксенофонтова Суд: Верховный Суд РФ (подробнее) Истцы: КБ "Международный фондовый банк" (ООО) - ГК "АСВ" (подробнее) ООО Коммерческий Банк "Международный Фондовый Банк" (подробнее) Ответчики: ООО "НИВА Г"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