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«Сбербанк России» (далее – банк) обратилось в суд с заявлением о признании должника несостоятельным (банкротом). Определением Арбитражного суда Нижегородской области от 31.01.2020 заявление банка признано обоснованным, введена процедура реструктуризации долгов гражданина. Не согласившись с указанным судебным актом, заявитель обжаловал его в апелляционном порядке. Определением Первого арбитражного апелляционного суда от 16.09.2020, оставленным без изменения постановлением Арбитражного суда Волго-Вятского округа от 27.11.2020, апелляционная жалоба возвращена заявителю на основании пункта 2 части 1 статьи 264 Арбитражного процессуального кодекса Российской Федерации, поскольку процессуальным законодательством не предусмотрена возможность повторного апелляционного обжалования определения суда, которое уже было предметом апелляционного рассмотрения и вступило в законную силу. В кассационной жалобе, поданной в Верховный Суд Российской Федерации заявитель просит передать жалобу вместе с делом для рассмотрения в судебном заседании Судебной коллегии Верховного Суда Российской Федерации, отменить названные судебные акты и направить дело на новое рассмотрение в Арбитражный суд Нижегородской области в ином составе судей.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заявителя, апелляционный суд, руководствуясь статьями 42, 188, 257, 264 Арбитражного процессуального кодекса Российской Федерации, исходил из того, что она подана на судебный акт, ранее являвшийся предметом рассмотрения в порядке апелляционного производства, а возможность повторного апелляционного обжалования вступившего в законную силу определения арбитражного суда нормами процессуального законодательства не предусмотрена. Суд округа поддержал выводы апелляционного суда. Приведенные заявителем в кассационной жалобе доводы заслуживают внимания, поскольку вопреки ошибочным выводам апелляционного суда, поддержанным коллегией суда округа, заявитель обжалует названное определение суда первой инстанции в порядке статьи 42 Арбитражного процессуального кодекса Российской Федерации как лицо, не участвующее в деле, о правах и обязанностях которого суд принял судебный акт. Вместе с тем, допущенные судами нарушения не привели к принятию неправильных судебных актов и нарушению прав заявителя. Определением суда первой инстанции не утверждался план реструктуризации долгов должника. По тексту судебного акта перечислено зарегистрированное за должником имущество без указания на необходимость совершения в отношении него каких-либо действий, в том числе реализации. При наличии к тому оснований заявитель не лишен возможности в рамках настоящего дела о банкротстве должника обратиться в суд заявлением об исключении имущества из конкурсной массы. На основании вышеизложенного,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Моденову Владиславу Дмитриевичу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