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Томской области от 16.01.2020, принятым в упрощенном порядке, в иске отказано. Седьмой арбитражный апелляционный суд перешел к рассмотрению дела по общим правилам искового судопроизводства и постановлением от 11.08.2020 решение отменил и в удовлетворении иска отказал. Постановлением Арбитражного суда Западно-Сибирского округа от 03.12.2020 постановление Седьмого арбитражного апелляционного суда от 11.08.2020 оставлено без изменения. В кассационной жалобе учреждение просит об отмене судебных актов апелляционного и окружного судов, ссылаясь на надлежащие полномочия на взыскание убытков.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 следование принадлежащего предпринимателю транспортного средства, имеющего превышение допустимых осевых нагрузок, по территориям двух и более субъектов Российской Федерации, что в силу Федерального закона от 08.11.2007 № 257-ФЗ «Об автомобильных дорогах и дорожной деятельности» обусловливают компетенцию федерального органа исполнительной власти на применение ответственности за указанное нарушение, поэтому поддержал постановление апелляционной инстанции об отказе учреждению в иске.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казенному учреждению Ханты-Мансийского автономного округа – Югры «Управление автомобильных дорог»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