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103 978 700 рублей. Определением Арбитражного суда города Москвы от 25.02.2020, оставленным без изменения постановлениями Девятого арбитражного апелляционного суда от 31.08.2020 и Арбитражного суда Московского округа от 02.12.2020,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Разрешая спор, суды, руководствуясь статьями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не установили оснований для удовлетворения заявления ввиду отсутствия доказательств, подтверждающих реальность возникших между сторонами отношений.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Промо-Р»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