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27 948 340 рублей. Определением Арбитражного суда города Москвы от 25.02.2020, оставленным без изменения постановлениями Девятого арбитражного апелляционного суда от 01.09.2020 и Арбитражного суда Московского округа от 02.12.2020,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71, 100, 142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не установили оснований для удовлетворения заявления ввиду отсутствия доказательств, подтверждающих реальность возникших между сторонами отношений.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«Стройконтакт-1»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