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07.10.2019 иск удовлетворен. Постановлением Тринадцатого арбитражного апелляционного суда от 21.07.2020, оставленным без изменения постановлением Арбитражного суда Северо-Западного округа от 24.11.2020, решение изменено: взыскано 265 700 рублей убытков; с истца в пользу ответчика взыскано 67 170 рублей в возмещение судебных расходов на оплату судебной экспертизы, 20 151 рубль расходов на услуги представителя; в результате проведенного зачета с ответчика в пользу истца взыскано 184 678 рублей. В кассационной жалобе общество «ТД Астера» просит об отмене судебных актов, ссылаясь на неприменение к правоотношениям сторон Конвенции о договоре международной дорожной перевозки грузов, недопустимость заключения экспертизы в качестве доказательства и неознакомление с доказательствами судебных расходов.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 оспариваемый размер убытков применение Конвенции о договоре международной дорожной перевозки грузов не влияет, на что правильно указал окружной суд. Размер убытков в связи с повреждением перевозимого груза определен судами в пределах компетенции и связанные с ним доводы не создают оснований для кассационного пересмотра судебных актов. Ознакомление с доказательствами судебных расходов является правом истца, нереализация которого не влияет на судьбу судебных актов о взыскании расходов.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Астера»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