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09.07.2020, оставленным без изменения постановлением Девятого арбитражного апелляционного суда от 05.10.2020 и постановлением Арбитражного суда Московского округа от 28.12.2020,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по результатам аукциона 16.04.2019 между учреждением (заказчик) и обществом (исполнитель) заключен государственный контракт № 1772200082019000024 на оказание услуг по комплексной уборке помещений учреждения. В период исполнения обществом обязательств по контракту заказчиком неоднократно направлялись в его адрес акты о выявленных нарушениях, из которых следовало, что учреждением по состоянию на дату их составления зафиксированы существенные нарушения при осуществлении ежедневной уборки внутренних помещений, что является нарушением условий контракта. Направленные в адрес общества претензии содержали требования о необходимости устранить допущенные нарушения, провести уборку в полном объеме. Поскольку нарушения, указанные в актах и претензиях, исполнителем не устранены, 12.08.2019 заказчиком принято решение об одностороннем отказе от исполнения контракта. В этот же день решение размещено на официальном сайте Единой информационной системы. Кроме того, в управление направлено обращение о включении общества в реестр недобросовестных поставщиков в связи с односторонним расторжением заказчиком государственного контракта по причине ненадлежащего исполнения его условий. Решением управления сведения, представленные в отношении общества, включены в реестр недобросовестных поставщиков на два года. Не согласившись с решением антимонопольного органа, заявитель обратился в суд. Оценив представленные в материалы дела доказательства, руководствуясь положениями Закона о контрактной системе, суды трех инстанций пришли к выводу о том, что решение управления соответствует положениям действующего законодательства и не нарушает права и законные интересы заявителя. 3 Судебные инстанции исходили из доказанности ненадлежащего исполнения обществом условий контракта и наличия у заказчика достаточных оснований для одностороннего отказа от исполнения контракта. Суды указали, что в ходе исполнения контракта учреждением систематически фиксировались грубые нарушения исполнения обязательств со стороны общества, которые не устранены со ссылкой на пороки технического задания. При исследовании дела судами приняты во внимание обстоятельства, установленные при рассмотрении дела № А40- 262331/2019. Нарушений заказчиком процедуры отказа от исполнения контракта, вопреки доводам общества, судами не установлено.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«РаШайн Клининг»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