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«Группа компаний «Феникс» (далее – общество) обратилось в суд с заявлением о включении в третью очередь реестра требований кредиторов должника (далее – реестр) задолженности в общей сумме 82 718 061 рубль 13 копеек, основанной на договорах займа по оформленным распискам от 13.08.2015, от 24.08.2015, от 18.11.2015, от 03.12.2015, от 03.11.2015, от 06.11.2015. Должник обратился в суд с заявлением, объединённым с заявлением общества в одно производство для совместного рассмотрения, о признании вышеуказанных расписок недействительными. Определением Арбитражного суда Пермского края от 13.07.2020 (в редакции определения того же суда от 13.07.2020 об исправлении опечаток) признаны недействительными договоры займа, заключенные между должником и Долматовым Игорем Владимировичем (далее – займодавец) и оформленные расписками от 13.08.2015, от 24.08.2015, от 03.11.2015, от 06.11.2015, от 18.11.2015, от 03.12.2015 на общую сумму 25 000 000 рублей; применены последствия недействительности сделок. Обществу отказано во включении его требования в реестр. Постановлением Семнадцатого арбитражного апелляционного суда от 27.09.2020, оставленным без изменения постановлением Арбитражного суда Уральского округа от 02.12.2020, вышеуказанное определение изменено. Требования общества в размере 25 000 000 рублей основного долга, 26 761 643 рублей 83 копеек процентов за пользование займом, 2 4 194 673 рублей 46 копеек процентов за пользование чужими денежными средствами включены в реестр в составе третьей очереди. В остальной части в удовлетворении требования отказано. В удовлетворении заявления о признании недействительными сделок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определение суда первой инстанции и повторно разрешая спор, апелляционный суд руководствовался статьями 10, 168, 170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действительности оспариваемых заёмных сделок и перехода права требования к обществу, документального подтверждения расходования должником полученных денежных средств, наличия у неаффилированного займодавца, раскрывшего источник поступления денежных средств, финансовой возможности для их предоставления должнику, документального подтверждения размера заявленной к включению в реестр заложенности, а также необходимости снижения процентов за пользование займом во избежание неосновательного обогащения одной из сторон.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Туманову Михаилу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