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«Регистраторское общество «СТАТУС» (далее – Общество) обратилось в Арбитражный суд Калужской области с иском к акционерному обществу «Агротехтранс» (далее – Компания) о взыскании 51 206 рублей 58 копеек задолженности по договору на оказание услуг по ведению реестра владельцев именных ценных бумаг от 01.10.2015 № РУ/33 и 145 938 рублей 75 копеек неустойки за период с 01.06.2017 по 31.12.2018. Решением Арбитражного суда Калужской области от 14.11.2019 требования удовлетворены частично: с Компании в пользу Общества взыскано 51 206 рублей 58 копеек задолженности; в остальной части в удовлетворении иска отказано. Определением от 25.02.2020 Двадцатый арбитражный суд перешел к рассмотрению дела по правилам, установленным Арбитражным процессуальным кодексом Российской Федерации (далее – АПК РФ), для рассмотрения дела в суде первой инстанции. Постановлением Двадцатого арбитражного апелляционного суда от 23.07.2020, оставленным без изменения постановлением Арбитражного суда Центрального округа от 26.11.2020, решение от 14.11.2019 отменено, исковые требования удовлетворены частично: с Компании в пользу Общества взыскано 28 774 рубля 22 копейки неустойки. В остальной части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 в части взыскания неустойки, ссылаясь на существенное нарушение судами норм материального и процессуального права. В обоснование доводов жалоб заявитель указывает, что апелляционным и окружным судами не дана надлежащая оценка доводам о злоупотреблении истцом правами, а также представленному Постановлению Банка России о привлечении Общества к административной ответственности за уклонение от передачи реестра владельцев ценных бумаг ответчика. Кроме того, по мнению Компании, в материалах дела отсутствует надлежащим образом оформленное ходатайство истца об изменении требований, а также протокольное определение о его удовлетворении.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и Компанией 01.10.2015 заключен договор на оказание услуг по ведению реестра владельцев именных ценных бумаг № РУ/33, согласно условиям которого истец принял на себя обязательство предоставлять комплекс услуг по ведению реестра владельцев именных ценных бумаг, а ответчик - обязательство оплачивать вознаграждение в размере и в порядке, предусмотренных договором. В связи с образовавшейся на стороне ответчика задолженностью по оплате оказанных услуг, в адрес последнего истцом направлена претензия от 10.12.2018 № 23-03/636, оставленная без удовлетворения. Ссылаясь на неисполнение требований претензии, Общество обратилось в арбитражный суд с требованиями о взыскании задолженности и неустойки. Суд первой инстанции, удовлетворяя требование Общества в части, исходил из наличия правовых оснований для взыскания задолженности. В отношении требования о взыскании неустойки, приняв во внимание Постановление Отделения по Калужской области Главного управления Центрального банка Российской Федерации по Центральному федеральному округу от 14.09.2017, суд первой инстанции пришел к выводу о наличии в действиях Общества злоупотребления правом, что является основанием для отказа в удовлетворении требований в данной части. Также суд области не приняв от истца уточнение заявленных требований, указал, что фактически Обществом изменены и предмет и основания иска. Повторно исследовав и оценив по правилам статьи 71 АПК РФ представленные доказательства, руководствуясь статьями 395 , 425 Гражданского кодекса Российской Федерации (далее – Гражданский кодекс), Федеральным законом от 26.12.1995 № 208-ФЗ «Об акционерных обществах», Федеральным законом от 22.04.1996 № 39-ФЗ «О рынке ценных бумаг»,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постановлении Пленума Высшего Арбитражного Суда Российской Федерации от 06.06.2014 № 35 «О последствиях расторжения договора», суд апелляционной инстанции, с выводами которого согласился суд округа, отменил решение суда первой инстанции и удовлетворил заявленные требования в оспариваемой части, установив наличие просрочки оплаты оказанных по договору услуг и взыскав заявленную неустойку, размер которой снизил по правилам статьи 333 Гражданского кодекса. Суд апелляционной инстанции верно исходил из того, что в рассматриваемом случае выявленное и подтвержденное государственным органом, а впоследствии и судом административное правонарушение, допущенное истцом, не может освобождать ответчика от исполнения договорных обязательств. Отменяя решение суда первой инстанции и переходя к рассмотрению дела по правилам, установленным АПК РФ для рассмотрения дела в суде первой инстанции, апелляционный суд в определении от 25.02.2020 указал, что основанием такой отмены является непринятие судом области уточнений иска, поступивших 30.09.2019. В связи с не рассмотрением уточненного искового требования о начислении неустойки, Обществом утрачена возможность принятия дополнительного решения применительно к пункту 1 части 1 статьи 178 АПК РФ 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«Агротехтранс»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Регистраторское общество Статус (подробнее) АО "Регистраторское общество "Статус" в лице Калужского филиала (подробнее) Ответчики: ОАО Агротехтранс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