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17.04.2020, оставленным без изменения постановлением Десятого арбитражного апелляционного суда от 11.09.2020, иск удовлетворен. Арбитражный суд Московского округа постановлением от 17.12.2020 решение от 17.04.2020 и постановление Десятого арбитражного апелляционного суда от 11.09.2020 оставил без изменения. В кассационной жалобе центр просит об отмене судебных актов, ссылаясь на неисследование доводов об аффилированности сторон договоров, нарушение апелляционным судом права заявителя на представление доказательств пороков сделок.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исходя из доводов жалобы не усматривается. Суды установили фактическое хранение имущества и передачу имущества в аренду, влекущие в силу статей 606, 614, 886, 896 Гражданского кодекса Российской Федерации возникновение обязанности по уплате требуемых платежей, к которой ответчик обязан. Апелляционная и кассационная жалобы центра рассмотрены применительно к заявленным доводам. Нарушение права заявителя на ознакомление с материалами дела и воспрепятствование исполнению процессуальной обязанности по обоснованию доводов апелляционной и кассационной жалоб отсутствует.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перспективных инвестиций»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