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21.01.2021 (согласно оттиску штампа на почтовом конверте) направило в Верховный Суд Российской Федерации кассационную жалобу на указанные судебные акты и одновременно заявило ходатайство о восстановлении пропущенного срока на ее подачу.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обществом причины пропуска процессуального срока, суд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«ТеплоСервис» о восстановлении пропущенного срока удовлетворить, пропущенный срок на подачу кассационной жалобы восстановить. Судья Верховного Суда Российской Федерации А.Г. Першутов Суд: Верховный Суд РФ (подробнее) Истцы: ООО "ТеплоСервис", г.Зеленодольск (подробнее) Ответчики: Приволжское управление Федеральной службы по экологическому, технологическому и атомному надзору (Ростехнадзор), Республика Марий-Эл, г.Йошкар-Ола (подробнее) ПУ Федеральной службы по экологическому, технологическому и атомному надзору (Ростехнадзор), Республика Марий-Эл, г.Йошкар-Ола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