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11.06.2020, иск удовлетворен частично, с ответчика в пользу истца взыскана неустойка в размере 95 517,6 рублей, в удовлетворении остальной части иска отказано. Постановлением Девятого арбитражного апелляционного суда от 16.09.2020 решение суда первой инстанции изменено, с ответчика в пользу истца взыскана неустойка в размере 994 945,99 рублей, в удовлетворении остальной части иска отказано. 2 Постановлением Арбитражного суда Московского округа от 03.12.2020 постановление суда апелляционной инстанции оставлено без изменения. Общество обратилось в Верховный Суд Российской Федерации с кассационной жалобой, в которой просит принятые по делу судебные акты отменить, направить дело на новое рассмотрение в суд первой инстанции. Исходя из доводов жалобы и принятых по делу судебных актов оснований для удовлетворения жалобы не установлено. Удовлетворяя иск частично, суды руководствовались статьями 309, 310, 330 Гражданского кодекса Российской Федерации, статьи 34 Федерального Закона Российской Федерации от 05.04.2013 № 44-ФЗ «О контрактной системе в сфере закупок товаров, работ, услуг для обеспечения государственных и муниципальных нужд», и исходили из документального подтверждения факта ненадлежащего оказания обществом услуг, определив подлежащий взысканию размер неустойки, и не выявив оснований для применения положений статьи 333 Гражданского кодекса Российской Федерации. При установленных судами по первому эпизоду обстоятельствах выдачи продуктов со склада ненадлежащего качества, в отсутствие доводов как по остальным эпизодам так и по размеру определенной судом апелляционной инстанции неустойки, оснований для отмены судебных актов не установлено. Доводы жалобы были предметом исследования судов и получили исчерпывающую правовую оценку с учетом установленных обстоятельств и представленных доказательств, не согласиться с которыми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291.6, 291.8 Арбитражного процессуального кодекса Российской Федерации, судья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