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20.11.2019, оставленным без изменения постановлением Девятнадцатого арбитражного апелляционного суда от 24.07.2020, иск удовлетворен. Постановлением Арбитражного суда Центрального округа от 08.12.2020 решение и постановление апелляционного суда отменены, дело направлено на новое рассмотрение в суд первой инстанции. В кассационной жалобе компания просит отменить постановление окружного суда, ссылаясь на переоценку им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Окружной суд отменил судебные акты по безусловному основанию (пункт 4 части 4 статьи 288 Арбитражного процессуального кодекса Российской Федерации), что соответствует его компетенции и полномочиям.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«Региональная Торговая Компания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