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20.07.2020, принятым в упрощенном порядке, иск удовлетворен. Одиннадцатый арбитражный апелляционный суд постановлением от 23.10.2020 решение от 20.07.2020 отменил и в удовлетворении иска отказал. Арбитражный суд Поволжского округа постановлением от 18.01.2021 отменил постановление Одиннадцатого арбитражного апелляционного суда от 23.10.2020 и оставил в силе решение от 20.07.2020. В кассационной жалобе компания просит об отмене постановления суда округа, ссылаясь на неправомерную квалификацию спорной суммы в качестве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по доводам жалобы не усматривается. Финансовый управляющий принял решение о выплате компанией причитающихся в силу Федерального закона от 25.04.2002 № 40-ФЗ «Об обязательном страховании гражданской ответственности владельцев транспортных средств» выплат, которые при надлежащем исполнении ею договора об ОСАГО подлежали уплате без прибегания к посредничеству управляющего. Таким образом, признание понесенных на обращение расходов следствием ненадлежащего исполнения договора, влекущим их взыскание по правилам статей 15, 393 Гражданского кодекса Российской Федерации, является правомерным.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«Страховая компания «Армеец»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