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08.07.2020, оставленным без изменения постановлениями Шестого арбитражного апелляционного суда от 23.09.2020 и Арбитражного суда Дальневосточного округа от 03.12.2020, должник признан несостоятельным банкротом по упрощённой процедуре ликвидируемого должника, введена процедура конкурсного производства, требование общества в размере 26 847 869 рублей 31 копейка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указанные судебные акты в части определения очерёдности погашения его требования и принять по делу новый судебный акт об удовлетворении требования в составе третьей очереди реестра.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2, 71, 100, 142 Федерального закона от 26.10.2002 № 127-ФЗ «О несостоятельности (банкротстве)», пришли к правильным выводам о том, что уступка заявителю требования, основанного на сложившихся между аффилированными лицами и имеющих корпоративный характер отношениях, не трансформирует такое обязательство в задолженность перед независимым кредитором, приобретаемой к неплатёжеспособному должнику в отсутствие какой-либо экономической целесообразности.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«Сириус»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