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20.12.2018, оставленным без изменения постановлением Девятого арбитражного апелляционного суда от 27.03.2019, с учреждения в пользу общества взыскана задолженность в сумме 2 225 918,25 рублей. 2 Постановлением Арбитражного суда Московского округа от 15.07.2019 указанные судебные акты отменены, дело направлено на новое рассмотрение в Арбитражный суд города Москвы. При новом рассмотрении дела решением Арбитражного суда города Москвы от 13.02.2020 (с учетом определения от 17.03.2020), с учреждения в пользу общества взыскана задолженность в сумме 2 225 918,25 рублей, в части требований о расторжении контракта производство по делу прекращено в связи с отказом от иска. Постановлением Арбитражного суда Московского округа от 24.11.2020 указанные судебные акты оставлены без изменения. Учреждение обратилось в Верховный Суд Российской Федерации с кассационной жалобой, в которой просит принятые при новом рассмотрении дела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720, 723 Гражданского кодекса Российской Федерации, статей 94,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удовлетворили иск, признав недоказанным факт исполнения обществом обязательств ненадлежащим образом. Доводы жалобы были предметом исследования судов и получили исчерпывающую правовую оценку с учетом установленных обстоятельств, не согласиться с которыми оснований не имеется. Ссылка на решение антимонопольного органа о включении сведений об обществе как исполнителе в реестр недобросовестных поставщиков сама по себе не может служить основанием для отмены судебных актов, поскольку при принятии указанного решения вопрос выполнения работ по контракту не исследовался. 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