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города Санкт-Петербурга и Ленинградской области с иском о взыскании с общества с ограниченной ответственностью «Деловые линии» 1 227 000 рублей убытков. Решением Арбитражного суда города Санкт-Петербурга и Ленинградской области от 25.01.2019 в удовлетворении иска отказано. Постановлением Тринадцатого арбитражного апелляционного суда от 15.04.2019 решение суда первой инстанции оставлено без изменения. Арбитражный суд Северо-Западного округа постановлением от 12.08.2019 указанные судебные акты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 , 309 , 310 , 402 , 431 Гражданского кодекса Российской Федерации, разъяснениями, приведенными в пунктах 11, 14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недоказанности наличия противоправных действий (бездействия) лица, привлекаемого к ответственности, наличия и размера понесенных убытков, причинно- следственной связи между действиями причинителя вреда и убытками, предъявленными к взысканию, принятия истцом мер и приготовлений к получению прибыли.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