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04.07.2018, оставленным без изменения постановлением Тринадцатого арбитражного апелляционного суда от 15.10.2018, иск удовлетворен частично, с университета в пользу предпринимателя взыскано 8 408 040 рублей убытков, в остальной части иска отказано. 2 Предприниматель обратился в арбитражный суд с заявлением о взыскании с университета судебных расходов в размере 985 000 рублей. Определением Арбитражного суда города Санкт-Петербурга и Ленинградской области от 27.03.2019, оставленным без изменения постановлением Тринадцатого арбитражного апелляционного суда от 14.06.2019, в удовлетворении требования отказано. Постановлением Арбитражного суда Северо-Западного округа от 10.12.2019 указанные судебные акты отменены, дело направлено на новое рассмотрение в Арбитражный суд города Санкт-Петербурга и Ленинградской области. При новом рассмотрении дела определением Арбитражного суда города Санкт-Петербурга и Ленинградской области от 19.05.2020 заявленные требования удовлетворены частично, с университета в пользу предпринимателя взыскано 801 205 рублей, в остальной части требований отказано. Постановлением Тринадцатого арбитражного апелляционного суда от 07.09.2020 определение суда первой инстанции от 19.05.2020 отменено, с университета в пользу предпринимателя взыскано 300 000 рублей, в остальной части в удовлетворении требований отказано. Постановлением Арбитражного суда Северо-Западного округа от 26.11.2020 постановление суда апелляционной инстанции от 07.09.2020 оставлено без изменения. Предприниматель просит отменить обжалуемые судебные акты, считая их незаконными и необоснованными, оставить в силе определение суда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3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судебных актов в кассационном порядке по доводам жалобы отсутствуют. Руководствуясь положениями статей 101, 106, 110, 112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суд апелляционной инстанции с учетом представленных доказательств пришел к выводу о наличии оснований для взыскания с университета судебных расходов на оплату услуг представителя в размере 300 000 рублей, признав заявленную сумму судебных расходов чрезмерной и определив расходы на оплату услуг представителя в разумных пределах; а также исключив стоимость подготовленного экспертного заключения. В отсутствие в жалобе доводов о том, что несение расходов на подготовку экспертного заключения было необходимо для реализации права на обращение в суд с иском, выводы судов в жалобе не опровергнуты и не противоречат правовой позиции, изложенной в пункте 2 постановления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дела». Иные доводы жалобы являлись предметом рассмотрения судов, им дана исчерпывающая правовая оценка в обжалуемых судебных актах, не согласиться с которой оснований не имеется. 4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