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29.05.2020, оставленным без изменения постановлением Седьмого арбитражного апелляционного суда от 20.07.2020, заявленное требование удовлетворено. Постановлением Арбитражного суда Западно-Сибирского округа от 02.12.2020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с нарушением условий лицензии: превышен уровень добычи угля, не введены в эксплуатацию очистные сооружения. Оценив представленные доказательства, руководствуясь положениями Закона Российской Федерации от 21.02.1992 № 2395-1 «О недрах», Федерального закона от 10.01.2002 № 7-ФЗ «Об охране окружающей среды», суды освободили общество от ответственности в связи с малозначительностью правонарушения по первому эпизоду; пришли к выводу о недоказанности административным органом в действиях общества состава вмененного правонарушения по второму эпизоду. Доводы жалобы были предметом исследования судов и получили исчерпывающую правовую оценку в обжалуемых судебных актах с учетом недоказанности административным органом наличия существенной угрозы охраняемым общественным отношениям и, как следствие, возможности квалификации правонарушения по первому эпизоду как малозначительного, а также обстоятельств срока действия разрешения на строительство, не 3 согласиться с которыми оснований не имеется. Указанные выводы судов в жалобе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