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«Банк «СОЮЗ» обратилось в суд с заявлением о повороте исполнения определения Арбитражного суда города Москвы от 21.09.2016 по настоящему делу в связи с отменой данного судебного акта по вновь открывшимся обстоятельствам. Определением Арбитражного суда города Москвы от 16.07.2020, оставленным без изменения постановлениями Девятого арбитражного апелляционного суда от 23.09.2020 и Арбитражного суда Московского округа от 11.12.2020, заявление удовлетворено. Произведена замена публичного акционерного общества Акционерный коммерческий банк «Связь-банк» на его правопреемника – банк; с него в пользу должника взысканы денежные средства в размере 1 503 321 932 рубля 01 копейка.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Производя поворот исполнения судебного акта, суды, руководствуясь статьями 223, 325, 326 Арбитражного процессуального кодекса Российской Федерации, исходили из того, что он отменён по вновь открывшимся обстоятельствам с принятием нового судебного акта об отказе банку как правопреемнику первоначального кредитора во включении в реестр требований кредиторов должника его требования, а также частично исполнен конкурсным управляющим должника путём погашения задолженности перед банком.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заявителем в жалобе доводы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«Промсвязьбанк»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