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Романчев Роман Валерьевич обратился в суд с заявлением о процессуальной замене взыскателя – должника в части взыскания с предпринимателя 4 182 400 рублей на правопреемника – частной компании с ограниченной ответственностью «System Capital Management Ltd» (далее – компания); исключении из реестра требований кредиторов должника требования компании в размере 1 863 259 рублей 20 копеек. Определением Арбитражного суда города Москвы от 17.06.2020, оставленным без изменения постановлениями Девятого арбитражного апелляционного суда от 02.09.2020 и Арбитражного суда Московского округа от 22.12.2020,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48 Арбитражного процессуального кодекса Российской Федерации, статьями 16, 142 Федерального закона от 26.10.2002 № 127-ФЗ «О несостоятельности (банкротстве)», пунктом 31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того, что в счёт частичного погашения кредиторской задолженности должника перед компанией последней в качестве отступного передана дебиторская задолженность, что повлекло правопреемство в материальном правоотношении и послужило основанием для осуществления процессуальной замены кредитора с одновременным исключением из реестра части его требований. Выводы судов соответствуют нормам права, оснований их переоценки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Слабых Игорю Игоревичу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