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23.06.2020, оставленным без изменения постановлением Двадцатого арбитражного апелляционного суда от 01.09.2020, в иске отказано. 2 Постановлением Арбитражного суда Центрального округа от 25.11.2020 указанные судебные акты оставлены без изменения. Администрация обратилась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166, 168, 173, 174, 181 Гражданского кодекса Российской Федерации, суды в иске отказали, признав срок исковой давности пропущенным. Доводы жалобы были предметом исследования судов и получили исчерпывающую правовую оценку с учетом установленных обстоятельств начала течения срока исковой давности, не согласиться с которыми, исходя из доводов жалобы,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