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24.05.2019 заявленные требования удовлетворены, возложена обязанность устранить допущенные нарушения прав и законных интересов заявителя в установленном законом порядке. Предприниматель обратился в арбитражный суд с заявлением о взыскании с фонда судебных расходов в размере 65 850,96 рублей. 2 Определением Арбитражного суда Самарской области от 23.03.2020, оставленным без изменения постановлением Одиннадцатого арбитражного апелляционного суда от 20.07.2020, заявленные требования удовлетворены частично, с фонда в пользу предпринимателя взысканы судебные расходы в размере 40 850,96 рублей, в удовлетворении остальной части требований отказано. Постановлением Арбитражного суда Поволжского округа от 24.11.2020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судебные акты, принятые по заявлению о взыскании судебных расходов, в части отказа в удовлетворении требований, считая их незаконными и необоснованными в указанной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3 вопросах применения законодательства о возмещении издержек, связанных с рассмотрением дела», суды пришли к выводу о наличии правовых оснований для взыскания с фонда судебных расходов в спорном размере (судебные расходы на оплату услуг представителя в размере, определенном в разумных пределах, почтовые расходы, а также расходы за внесение платы за получение выписок).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