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09.12.2019, оставленным без изменения постановлением Первого арбитражного апелляционного суда от 30.07.2020 и постановлением Арбитражного суда Волго-Вятского округа от 02.12.2020, заявленное требование удовлетворено частично, решение инспекции признано недействительным в части привлечения общества к ответственности за совершение налогового правонарушения в виде штрафа в размере 983 396 рублей 18 копеек; в удовлетворении остальной части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и удовлетворить требование в заявленном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инспекцией в отношении общества проведена выездная налоговая проверка за период с 01.01.2014 по 31.12.2015 и вынесено решение, которым доначислены 909 331 рубль налога на прибыль организаций, 6 894 071 рубль налога на добавленную стоимость (далее - НДС), , соответствующие суммы пеней и штрафа, а также штрафные санкции и пени по налогу на доходы физических лиц (далее - НДФЛ). Основанием для доначисления налогов послужили выводы инспекции о получении обществом необоснованной налоговой выгоды в результате хозяйственных операций с ООО «Тиальда Групп» по договору поставки товара; а также необоснованном включении в состав расходов по налогу на прибыль суммы амортизации по оборудованию, полученному безвозмездно от учредителей. Не согласившись с решением налогового органа, общество обратилось в арбитражный суд. В проверяемом периоде обществом (покупатель) и ООО «Тиальда Групп» (продавец) заключен договор купли-продажи (поставки) товара от 01.12.2014 № ДП37, по условиям которого продавец обязался поставить покупателю партиями в течение всего срока действия договора оборудование и комплектующие к нему, а покупатель принять указанный товар и оплатить его стоимость. Судами установлено, что представленные обществом в обоснование сделки документы не отвечают установленным требованиям, содержат недостоверные сведения и не подтверждают реальности хозяйственной операции с заявленным контрагентом, не имеющим возможности поставить товар, в том числе в связи с наличием признаков номинальной организации, отсутствием необходимых условий для достижения результатов соответствующей экономической и предпринимательской деятельности, по расчетным счетам контрагента отсутствовало движение денежных средств. 3 По эпизоду, связанному с включением в состав расходов по налогу на прибыль суммы амортизации по оборудованию, полученному безвозмездно от учредителей, судебные инстанции также согласились с выводами налогового органа о неправомерном учете обществом указанных расходов. Суды указали, что стекловаренная печь, полученная безвозмездно от учредителей, введена в эксплуатацию с 31.12.2014, первоначальная стоимость объекта составила 13 500 000 рублей, амортизация начислялась линейным методом с 01.01.2015. При этом общество не включило стоимость безвозмездно полученного основного средства в состав внереализационных доходов, в связи с чем спорное основное средство не подлежит амортизации. Установив указанные обстоятельства, учитывая положения статей 110, 112, 114, 169, 171, 172, 247, 252, 256, 257 Налогового кодекса Российской Федерации, учитывая разъяснения, изложенные в постановлении Пленума Верховного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законности оспариваемого решения налогового органа, при этом, снизив размер штрафа за неуплату налогов в два раза с учетом наличия смягчающих обстоятельств. Доводы, изложенные в кассационной жалобе, в том числе о реальности хозяйственной операции с контрагентом, наличии существенных нарушений при проведении проверки со стороны налогового органа и оснований для снижения начисленных штрафов,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дела. Указанные доводы повторяют позицию общества, выражают несогласие с оценкой представленных в материалы дела доказательств и установленными судами фактическими обстоятельствами настоящего спора,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 Гласс Индастри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