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09.04.2019, оставленным без изменения постановлением Седьмого арбитражного апелляционного суда от 24.07.2019, в иске отказано. 2 Постановлением Арбитражного суда Западно-Сибирского округа от 25.11.2019 указанные судебные акты отменены, дело направлено на новое рассмотрение в Арбитражный суд Алтайского края. При новом рассмотрении дела решением Арбитражного суда Алтайского края от 22.06.2020, оставленным без изменения постановлением Седьмого арбитражного апелляционного суда от 31.08.2020, иск удовлетворен. Постановлением Арбитражного суда Западно-Сибирского округа от 17.12.2020 названные судебные акты оставлены без изменения. Учреждение обратилось в Верховный Суд Российской Федерации с кассационной жалобой, в которой просит принятые при новом рассмотрении дела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424, 485, 709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удовлетворили иск, установив основания для взыскания задолженности в спорном размере. Доводы жалобы были предметом исследования судов и получили исчерпывающую правовую оценку с учетом конкретных условий контрактов, поведения учреждения в ходе исполнения контрактов и установленных обстоятельств, не свидетельствующих о превышении стоимость контракта более 10 процентов,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