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Соловьёв Максим Вячеславович обратился в суд с заявлением о признании недействительной сделкой должника списания денежных средств в пользу общества в размере 1 031 374 рубля 66 копеек; применении последствий недействительности сделки. Определением Арбитражного суда города Москвы от 16.06.2020, оставленным без изменения постановлениями Девятого арбитражного апелляционного суда от 14.08.2020 и Арбитражного суда Московского округа от 02.12.2020,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пункта 2 статьи 61.3 Федерального закона от 26.10.2002 № 127-ФЗ «О несостоятельности (банкротстве)», пунктами 11, 12 постановления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 и исходили из доказанности совокупности условий для признания недействительной сделкой оспариваемого безакцептного списания денежных средств с расчётного счёта должника, совершённого в течение месяца после принятия судом заявления о признании должника банкротом за пределами обычной хозяйственной деятельности и повлекшего за собой оказание обществу предпочтения в удовлетворении его требований перед иными кредиторами.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«ТНС энерго Воронеж»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