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Соловьёв Максим Вячеславович обратился в суд с заявлением о признании недействительными сделок должника по списанию денежных средств в пользу общества в совокупном размере 1 821 477 рублей 79 копеек; применении последствий недействительности сделок. Определением Арбитражного суда города Москвы от 16.06.2020, оставленным без изменения постановлениями Девятого арбитражного апелляционного суда от 14.08.2020 и Арбитражного суда Московского округа от 02.12.2020,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положениями пункта 2 статьи 61.3 Федерального закона от 26.10.2002 № 127-ФЗ «О несостоятельности (банкротстве)», пунктами 11, 12 постановления Пленума Высшего Арбитражного Суда Российской Федерации от 23.12.2010 № 63 «О некоторых вопросах, связанных с применением главы III.I Федерального закона «О несостоятельности (банкротстве)» и исходили из доказанности совокупности условий для признания недействительными сделками оспариваемых безакцептных списаний денежных средств с расчётного счёта должника, совершённых в течение месяца после принятия судом заявления о признании должника банкротом за пределами обычной хозяйственной деятельности и повлекших за собой оказание обществу предпочтения в удовлетворении его требований перед иными кредиторами.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«ТНС энерго Воронеж»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