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13.03.2020 направило в Верховный Суд Российской Федерации кассационную жалобу, одновременно заявив ходатайство о восстановлении пропущенного срока ее подачи. В обоснование ходатайства общество ссылается на позднее получение копии обжалуемого постановления суда округа.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Однако, как следует из обжалуемых судебных актов, общество являлось инициатором обращения с кассационной жалобой в суд округа, при этом представитель общества присутствовал в судебном заседании и знал о состоявшихся судебных актах. Текст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ознакомиться с содержанием обжалуемых судебных актов и принять решение по вопросу подготовки и подачи кассационной жалобы в предусмотренный процессуальным законодательством срок. В соответствии с частями 1 и 6 статьи 291.3 Арбитражного процессуального кодекса Российской Федерации, общество имело возможность своевременно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том, что согласно Порядку подачи документов в электронном виде с использованием указанной системы не требуется получение заверенных копий обжалуемых судебных актов.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3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«СОЛ»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