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24.12.2019 контракты расторгнуты, в остальной части первоначального иска отказано, встречный иск удовлетворен. Постановлением Тринадцатого арбитражного апелляционного суда от 27.07.2020 решение суда первой инстанции в части удовлетворения встречного иска отменено, в удовлетворении встречного иска отказано, в остальной части решение суда первой инстанции оставлено без изменения. Постановлением Арбитражного суда Северо-Западного округа от 26.11.2020 постановление суда апелляционной инстанции оставлено без изменения. Администрация просит обжалуемые судебные акты изменить в части отказа в удовлетворении первоначального иска в полном объеме. При изучении доводов жалобы и принятых по делу судебных актов оснований для удовлетворения жалобы не установлено. Руководствуясь положениями статей 309, 310, 406, 758, 759, 760 Гражданского кодекса Российской Федерации, статей 34,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отказали в удовлетворении первоначального иска в обжалуемой части, не установив оснований для применения договорной ответственности с учетом отсутствия доказательств нарушения сроков выполнения работ в результате просрочки исполнителя, с учетом того, что работы приняты заказчиком. Доводы жалобы были предметом исследования судов и получили исчерпывающую правовую оценку с учетом последствий выполнения работ с недостатками, заявленных оснований для применения договорной ответственности применительно к установленным обстоятельствам, не согласиться с которыми оснований не имеется. 3 Приведенные в жалобе доводы сводятся к иной оценке представленных доказательств и несогласию с толкованием судами норм законодательства, подлежащих применению к рассматриваемым правоотношениям, применительно к установленным фактическим обстоятельствам дела, что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