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признании должника несостоятельным (банкротом), принятое к производству определением Арбитражного суда города Москвы от 27.09.2019. Определением Арбитражного суда города Москвы от 15.07.2020, оставленным без изменения постановлениями Девятого арбитражного апелляционного суда от 22.10.2020 и Арбитражного суда Московского округа от 15.12.2020, во введении в отношении должника процедуры наблюдения отказано, производство по делу прекращено.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во введении наблюдения и прекращая производство по делу, суды, руководствуясь статьёй 57 Федерального закона от 26.10.2002 № 127-ФЗ «О несостоятельности (банкротстве)», пунктом 14 постановления Пленума Высшего Арбитражного Суда Российской Федерации от 17.12.2009 № 91 «О порядке погашения расходов по делу о банкротстве», исходили из отсутствия источников финансирования дальнейшей процедуры банкротства должника, в том числе за счёт средств общества, не перечислившего соответствующую сумму на депозитный счёт арбитражного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«Роскоммунэнерго» Коноваловой Анне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