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Строительная компания «УСТК» (далее – конкурсный кредитор) обратилось в суд с заявлением о привлечении к субсидиарной ответственности обществ с ограниченной ответственностью «БЦ «Аврора», «Строительные технологии» и «Свет» (далее – общества), взыскании с них 182 499 573 рублей 41 копейки. Определением Арбитражного суда Свердловской области от 17.02.2020, оставленным без изменения постановлениями Семнадцатого арбитражного апелляционного суда от 29.08.2020 и Арбитражного суда Уральского округа от 25.11.2020,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10 Федерального закона от 26.10.2002 № 127-ФЗ «О несостоятельности (банкротстве)» и применительно к конкретным фактическим обстоятельствам не установили наличия оснований для привлечения к субсидиарной ответственности по обязательствам должника указанных конкурсным кредитором обществ, недоказанности вовлечённости последних в процесс управления должником, возможности давать ему обязательные для исполнения указания или иным образом определять его действия, необоснованного извлечения ими заявленной выгоды.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заявителем в кассационной жалобе доводы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«Монолит Строй» Друговой Алене Павловне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