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конкурсные кредиторы общества с ограниченной ответственностью «Строй Инвест» и «БЦ «Аврора» обратились в суд с заявлением о признании недействительными сделками договора на предоставление услуг спецтехники от 11.03.2015, договора на предоставление услуг спецтехники от 20.03.2015, договора на поставку арматуры от 08.04.2015 № 01/08/15, заключенных между должником и обществом с ограниченной ответственностью «Уралавтострой» (далее – общество «Уралавтострой»), и применении последствий недействительности сделок в виде взыскания с общества «Уралавтострой» в конкурсную массу должника стоимости недопоставленного в пользу должника товара на общую сумму 5 627 020 рублей 47 копеек. Определением Арбитражного суда Свердловской области от 16.12.2019 заявление удовлетворено. Постановлением Семнадцатого арбитражного апелляционного суда от 10.09.2020, оставленным без изменения постановлением Арбитражного суда Уральского округа от 25.11.2020, изменено определение суда первой инстанции от 16.12.2019 в части применения последствий недействительности сделок, с общества «Уралавтострой» в конкурсную массу должника взыскано 2 3 293 173 рублей 73 копейки, в остальной части определение оставлено без изменения. В кассационной жалобе, поданной в Верховный Суд Российской Федерации, заявитель просит отменить указанные судебные акты, принять новый судебный акт об отказе в удовлетворении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суд первой инстанции, руководствуясь положениями статей 10, 168 и 170 Гражданского кодекса Российской Федерации, отклонив доводы о пропуске срока исковой давности, пришёл к выводу об обоснованности заявления ввиду отсутствия надлежащих доказательств реальности оспариваемых отношений. Изменяя определение суда первой инстанции, апелляционный суд в целом согласился с выводами относительно обоснованности заявления, посчитал неверным расчёт необоснованно предъявленной к оплате стоимости товара, произвёл перерасчёт подлежащей к взысканию суммы.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«Меркурий87»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