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«Барс» (далее – общество) обратилось в суд с заявлением о включении его требования в реестр требований кредиторов должника. Определением Арбитражного суда Новосибирской области от 03.07.2020, оставленным без изменения постановлением Седьмого арбитражного апелляционного суда от 02.10.2020, требование общества в размере 55 291 406 рублей 28 копеек включено в реестр требований кредиторов должника в очерёдности, предшествующей распределению ликвидационной квоты. Постановлением Арбитражного суда Западно-Сибирского округа от 12.01.2021 изменены определение суда первой инстанции от 03.07.2020 и постановление апелляционного суда от 02.10.2020, требования общества отнесены к третьей очереди удовлетворения.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кассационных жалоб и отзыва конкурсного управляющего общества на жалобу Лебедева И.Я. таких оснований не установлено. Признавая требования общества подлежащими включению в третью очередь реестра, суд округа, руководствуясь позициями, изложенными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утвержденном Президиумом Верховного Суда Российской Федерации 29.01.2020, исходил из необоснованности выводов судов о наличии оснований для субординации требований общества.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Лебедеву Игорю Ярославовичу и обществу с ограниченной ответственностью «СМУ-112»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