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21.11.2019, оставленным без изменения постановлением Девятого арбитражного апелляционного суда от 11.08.2020 и постановлением Арбитражного суда Московского округа от 01.12.2020, в удовлетворении заявленного требования отказано. 2 В кассационной жалобе, поданной в Верховный Суд Российской Федерации, РЭК Свердловской области,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с 25.02.2019 по 25.03.2019 на основании приказа ФАС России от 05.02.2019 № 136/19 проведена внеплановая выездная документарная проверка в отношении установленного РЭК Свердловской области тарифа на услугу регионального оператора по обращению с твердыми коммунальными отходами (далее - ТКО) для ООО «Компания «Рифей» на 2019 год. По результатам проверки составлен акт от 25.03.2020 № 44 и выдано предписание об устранении выявленных нарушений. Не согласившись с предписанием антимонопольного органа, предприниматель и РЭК Свердловской области обратились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24.06.1998 № 89-ФЗ «Об отходах производства и потребления», Основами ценообразования в области обращения с твердыми коммунальными отходами и Правилами регулирования тарифов в сфере обращения с твердыми коммунальными отходами, утвержденными постановлением Правительства Российской Федерации от 30.05.2016 № 484 «О ценообразовании в области обращения с твердыми коммунальными отходами», Методическими указаниями по расчету регулируемых тарифов в области обращения с твердыми коммунальными отходами, утвержденными приказом ФАС России от 21.11.2016 № 1638/16, Положением о государственном контроле (надзоре) в области регулируемых государством 3 цен (тарифов), утвержденным Постановлением Правительства Российской Федерации от 27.06.2013 № 543, Постановлением Правительства Российской Федерации от 29.12.2011 № 1178 «О ценообразовании в области регулируемых цен (тарифов) в электроэнергетике», признали оспариваемый акт соответствующим закону и не нарушающим права заявителей, с чем согласился суд округа. Судебные инстанции указали, что оспоренное предписание ФАС России вынесено в пределах предоставленных антимонопольному органу полномочий, нарушений процедуры, порядка и сроков проведения проверки не установлено. При этом суды отметили, что в предписании отсутствуют замечания по обоснованности или необоснованности утвержденных нормативов накопления ТКО. Доводы заявителя, изложенные в кассационной жалобе, в том числе об обоснованности заявленных расходов,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