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Налогового кодекса Российской Федерации. 2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Так, к документам, устанавливающим имущественное положение,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Заявителем представлены доказательства, свидетельствующие о невозможности исполнения обязанности по уплате государственной пошлины при подаче кассационной жалобы, в связи с чем, ходатайство об отсрочке уплаты государственной пошлины подлежит удовлетворению. Учитывая изложенное и руководствуясь статьями 102, 184, 291.3 Арбитражного процессуального кодекса Российской Федерации, статьями 333.21, 333.22, 333.41 Налогового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«Альянс Капитал Девелопмент» об отсрочке уплаты государственной пошлины удовлетворить. Предоставить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