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«Александр»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«ЭкоАльянс» 6 677 977 рублей 74 копеек. Решением Арбитражного суда города Москвы от 25.02.2020 иск удовлетворен. Постановлением Девятого арбитражного апелляционного суда от 18.08.2020 решение суда первой инстанции оставлено без изменения. Арбитражный суд Московского округа постановлением от 02.12.2020 указанные судебные акты оставил без изменения. Общество с ограниченной ответственностью «ЭкоАльянс»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по делам № № А40-91462/2018, А40-91479/2018, А40-88231/2018, и взыскание с ООО «Александр» в пользу государственного заказчика – Минобороны России штрафов вследствие неисполнения ответчиком обязательств по договору об оказании услуг по вывозу твердых бытовых коммунальных отходов и жидких бытовых отходов с территории казарменно-жилищного фонда военных городков Минобороны России в 2015-2016 г.г., а также условия договора об ответственности за неисполнение или ненадлежащее исполнение принятых на себя обязательств, руководствуясь статьями 15, 195, 199, 393 Гражданского кодекса Российской Федерации, суды пришли к выводу о доказанности совокупности обстоятельств, необходимых для привлечения ответчика к ответственности в виде возмещения понесенных истцом убытков, признав не пропущенным срок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«ЭкоАльянс»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