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Чепелькина Т.И. обратилась в суд с возражениями по результатам рассмотрения конкурсным управляющим должника государственной корпорации «Агентство по страхованию вкладов» её требований, просила признать их обоснованными в размере 11 179 849 рублей 40 копеек и включить в первую очередь реестра требований кредиторов должника (далее – реестр). Определением Арбитражного суда города Москвы от 11.06.2020, оставленным без изменения постановлениями Девятого арбитражного апелляционного суда от 08.09.2020 и Арбитражного суда Московского округа от 30.11.2020, во включении требований в реестр отказано; определено учитывать требования в заявленном размере как подлежащие удовлетворению за счёт имущества должника, оставшегося после удовлетворения требований кредиторов, включённых в первую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61.6, 142, 189.85 Федерального закона от 26.10.2002 № 127-ФЗ «О несостоятельности (банкротстве)», пунктами 26, 27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правовых оснований для включения в реестр восстановленных по недействительной сделке требований заявителя, пропустившей установленный законом срок для их предъявления.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Чепелькиной Тамаре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