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унитарное предприятие города Москвы «Мосгортранс» обратилось в Арбитражный суд города Москвы с иском к обществу с ограниченной ответственностью «Лидер» и обществу с ограниченной ответственностью «СитиТранзит» о солидарном взыскании 580 885 рублей 34 копеек убытков. Решением Арбитражного суда города Москвы от 18.03.2020, принятым в порядке упрощенного производства, иск удовлетворен. Постановлением Девятого арбитражного апелляционного суда от 03.08.2020 решение суда первой инстанции оставлено без изменения. Арбитражный суд Московского округа постановлением от 07.12.2020 решение суда первой инстанции и постановление суда апелляционной инстанции отменил и в удовлетворении иска отказал. Государственное унитарное предприятие города Москвы «Мосгортранс» обратилось в Судебную коллегию Верховного Суда Российской Федерации с 2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Разрешая спор, окружной суд руководствовался положениями статей 1064, 1068, 1079 Гражданского кодекса Российской Федерации и исходил из отсутствия оснований для возложения обязанности по возмещению ущерба на лиц, не являвшихся на момент совершения дорожно-транспортного происшествия непосредственными владельцами источника повышенной опасности, поскольку владение спорным автомобилем передано по договору субаренды гражданину Змушко М.А., не являющемуся штатным работником ответчиков. Доводы жалобы,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города Москвы «Мосгортранс»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