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(далее – должник) UAB UBIG debt collection (далее – компания) обратилась в Арбитражный суд города Москвы с заявлением о включении в реестр требований кредиторов должника (далее – реестр) требования, подтвержденного решением иностранного суда. Определением суда первой инстанции от 30.09.2019, оставленным без изменения постановлениями судов апелляционной инстанции от 03.12.2019 и округа от 17.02.20200, в удовлетворении требования отказано. В кассационной жалобе, поданной в Верховный Суд Российской Федерации, компания просит отменить указанные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Отказывая в удовлетворении требования, суды первой и апелляционной инстанции, с выводами которых согласился суд округа, исходили из того, что требование подано с пропуском трехгодичного срока на принудительное исполнение решения иностранного суда. Доказательств наличия каких-либо препятствий для обращения с требованием в установленный срок не представлено.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BaltMet Commercial Limited (подробнее) The Private Company LTD by Shares PARTALIA LIMITED (подробнее) UAB UBIG debt collection (подробнее) КОО ИНКОМПЛЕКС ЛЛЦ (подробнее) Иные лица: Дианова Рамиля (подробнее) Судьи дела: Капкаев Д.В. (судья) (подробнее) Последние документы по делу: Определение от 23 марта 2021 г. по делу № А40-122648/2018 Определение от 15 июня 2020 г. по делу № А40-122648/2018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