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«Эко-Эталон» обратилось в Арбитражный суд Челябинской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«Спецсервис» 12 607 775 рублей задолженности, 3 504 657 рублей 28 копеек неустойки за период с 16.02.2019 по 18.06.2020, с начислением неустойки по день фактической уплаты долга. Решением Арбитражного суда Челябинской области от 05.08.2020 иск удовлетворен. Постановлением Восемнадцатого арбитражного апелляционного суда от 13.10.2020 решение суда первой инстанции оставлено без изменения. Арбитражный суд Уральского округа постановлением от 18.12.2020 указанные судебные акты оставил без изменения. Общество с ограниченной ответственностью «Спецсервис» обратилось в Судебную коллегию Верховного Суда Российской Федерации с кассационной 2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истцом обязательства по договору исполнены надлежащим образом, услуги по транспортированию твердых коммунальных отходов оказаны, признав расчет истца соответствующим Правилам коммерческого учета объема и (или) массы твердых коммунальных отходов, утвержденным постановлением Правительства Российской Федерации от 03.06.2016 № 505, и условиям договора, руководствуясь статьями 309, 779, 781, 783 Гражданского кодекса Российской Федерации, суды пришли к выводу о наличии у ответчика обязанности по оплате оказанных услуг. Доводы жалобы приводились при рассмотрении дела, были рассмотрены судами и им дана надлежащая оценка,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«Спецсервис»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