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28.01.2020, оставленным без изменения постановлением Тринадцатого арбитражного апелляционного суда от 01.06.2020, иск удовлетворен. Постановлением Арбитражного суда Северо-Западного округа от 24.11.2020 указанные судебные акты оставлены без изменения. Учреждение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310, 702, 782 Гражданского кодекса Российской Федерации,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иск, признав отказ от исполнения контракта по изложенным ответчиком основаниям недействительным. Доводы жалобы были предметом исследования судов и получили исчерпывающую правовую оценку с учетом условий контракта и установленных обстоятельств, свидетельствующих об отсутствии доказательств исполнения истцом обязательств ненадлежащим образом, не согласиться с которыми оснований не имеется. Доводы кассационной жалобы направлены на переоценку фактических обстоятельств, установленных судами, что само по себе не является основанием для пересмотра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3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